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bookmarkStart w:id="0" w:name="_GoBack"/>
      <w:r>
        <w:rPr>
          <w:rFonts w:hint="eastAsia" w:ascii="楷体_GB2312" w:eastAsia="楷体_GB2312"/>
          <w:b/>
          <w:sz w:val="44"/>
          <w:szCs w:val="44"/>
        </w:rPr>
        <w:t>黄山市G205国道改建和梅林南路PPP项目养护定期检测服务项目报价单</w:t>
      </w:r>
    </w:p>
    <w:bookmarkEnd w:id="0"/>
    <w:p>
      <w:pPr>
        <w:jc w:val="center"/>
        <w:rPr>
          <w:b/>
          <w:color w:val="FF0000"/>
          <w:sz w:val="44"/>
          <w:szCs w:val="44"/>
        </w:rPr>
      </w:pPr>
    </w:p>
    <w:tbl>
      <w:tblPr>
        <w:tblStyle w:val="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投标单位（盖章）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法定代表人（盖章）或</w:t>
            </w:r>
          </w:p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   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     元</w:t>
            </w:r>
          </w:p>
        </w:tc>
      </w:tr>
    </w:tbl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4122"/>
    <w:rsid w:val="4E8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2020-03-23T09:03:00Z</dcterms:created>
  <dc:creator>你午睡了吗</dc:creator>
  <cp:lastModifiedBy>你午睡了吗</cp:lastModifiedBy>
  <dcterms:modified xsi:type="dcterms:W3CDTF">2020-03-23T09:03:27Z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