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numId w:val="0"/>
        </w:numPr>
        <w:jc w:val="both"/>
        <w:rPr>
          <w:rStyle w:val="11"/>
          <w:rFonts w:hint="eastAsia" w:cs="宋体"/>
          <w:color w:val="auto"/>
          <w:lang w:val="en-US" w:eastAsia="zh-CN"/>
        </w:rPr>
      </w:pPr>
      <w:r>
        <w:rPr>
          <w:rStyle w:val="11"/>
          <w:rFonts w:hint="eastAsia" w:cs="宋体"/>
          <w:color w:val="auto"/>
          <w:lang w:val="en-US" w:eastAsia="zh-CN"/>
        </w:rPr>
        <w:t>附件：</w:t>
      </w:r>
    </w:p>
    <w:p>
      <w:pPr>
        <w:pStyle w:val="9"/>
        <w:numPr>
          <w:numId w:val="0"/>
        </w:numPr>
        <w:jc w:val="both"/>
        <w:rPr>
          <w:rStyle w:val="11"/>
          <w:rFonts w:cs="宋体"/>
          <w:color w:val="auto"/>
        </w:rPr>
      </w:pPr>
      <w:bookmarkStart w:id="1" w:name="_GoBack"/>
      <w:bookmarkEnd w:id="1"/>
      <w:r>
        <w:rPr>
          <w:rStyle w:val="11"/>
          <w:rFonts w:hint="eastAsia" w:cs="宋体"/>
          <w:color w:val="auto"/>
        </w:rPr>
        <w:t>采购需求</w:t>
      </w:r>
    </w:p>
    <w:p>
      <w:pPr>
        <w:pStyle w:val="5"/>
        <w:widowControl w:val="0"/>
        <w:spacing w:before="0" w:beforeAutospacing="0" w:after="0" w:afterAutospacing="0" w:line="460" w:lineRule="exact"/>
        <w:rPr>
          <w:color w:val="auto"/>
          <w:sz w:val="18"/>
          <w:szCs w:val="18"/>
        </w:rPr>
      </w:pPr>
      <w:bookmarkStart w:id="0" w:name="_Toc10619"/>
      <w:r>
        <w:rPr>
          <w:rFonts w:hint="eastAsia" w:cs="Times New Roman"/>
          <w:b/>
          <w:color w:val="auto"/>
          <w:kern w:val="2"/>
          <w:sz w:val="18"/>
          <w:szCs w:val="18"/>
        </w:rPr>
        <w:t>一、沥青拌合楼燃料油（燃料油）技术要求</w:t>
      </w:r>
    </w:p>
    <w:tbl>
      <w:tblPr>
        <w:tblStyle w:val="7"/>
        <w:tblpPr w:leftFromText="180" w:rightFromText="180" w:vertAnchor="text" w:horzAnchor="page" w:tblpX="1894" w:tblpY="159"/>
        <w:tblOverlap w:val="never"/>
        <w:tblW w:w="76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584"/>
        <w:gridCol w:w="3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检验项目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检测结果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硫含量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 xml:space="preserve"> %</w:t>
            </w: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不大于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0.02(200ppm)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氯含量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 xml:space="preserve"> %</w:t>
            </w: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不大于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0.02(200ppm)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氮含量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 xml:space="preserve"> %</w:t>
            </w: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不大于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0.02(200ppm)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灰分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 xml:space="preserve">  %</w:t>
            </w: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不大于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Tahoma" w:cs="宋体"/>
                <w:color w:val="auto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水分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 xml:space="preserve">  %</w:t>
            </w: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不大于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密度：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g/ml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0.85</w:t>
            </w:r>
            <w:r>
              <w:rPr>
                <w:rFonts w:hint="eastAsia" w:ascii="宋体" w:hAnsi="Tahoma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液体酸碱度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中性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液体酸碱值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1-14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烟酸碱度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中性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液体酸碱值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1-14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液体烟性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液体中性，烟中性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水溶性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不溶水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14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闪点℃不小于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沉淀机杂不大于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热值卡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微软雅黑" w:cs="微软雅黑"/>
                <w:color w:val="auto"/>
                <w:kern w:val="0"/>
                <w:sz w:val="18"/>
                <w:szCs w:val="18"/>
              </w:rPr>
              <w:t>千克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＞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</w:rPr>
              <w:t>85</w:t>
            </w:r>
            <w:r>
              <w:rPr>
                <w:rFonts w:hint="eastAsia" w:ascii="宋体" w:hAnsi="Tahoma" w:cs="宋体"/>
                <w:color w:val="auto"/>
                <w:kern w:val="0"/>
                <w:sz w:val="18"/>
                <w:szCs w:val="18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righ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 w:ascii="宋体" w:hAnsi="Tahoma" w:cs="宋体"/>
                <w:color w:val="auto"/>
                <w:sz w:val="18"/>
                <w:szCs w:val="18"/>
              </w:rPr>
            </w:pPr>
          </w:p>
        </w:tc>
      </w:tr>
    </w:tbl>
    <w:p>
      <w:pPr>
        <w:pStyle w:val="3"/>
        <w:widowControl/>
        <w:rPr>
          <w:rFonts w:hint="default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Tahoma" w:cs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1" w:firstLineChars="200"/>
        <w:jc w:val="left"/>
        <w:rPr>
          <w:rFonts w:ascii="宋体" w:hAnsi="宋体" w:cs="宋体"/>
          <w:b/>
          <w:color w:val="auto"/>
          <w:kern w:val="0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361" w:firstLineChars="200"/>
        <w:jc w:val="left"/>
        <w:rPr>
          <w:rFonts w:ascii="宋体" w:hAnsi="宋体" w:cs="宋体"/>
          <w:color w:val="auto"/>
          <w:sz w:val="18"/>
          <w:szCs w:val="18"/>
        </w:rPr>
      </w:pPr>
      <w:r>
        <w:rPr>
          <w:rFonts w:hint="eastAsia" w:ascii="宋体" w:hAnsi="宋体" w:cs="宋体"/>
          <w:b/>
          <w:color w:val="auto"/>
          <w:kern w:val="0"/>
          <w:sz w:val="18"/>
          <w:szCs w:val="18"/>
        </w:rPr>
        <w:t>注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>：1、非成品油硫氯氮符合标准值，属于环保型燃料，用于沥青拌合楼。</w:t>
      </w: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宋体" w:cs="宋体"/>
          <w:color w:val="auto"/>
          <w:sz w:val="18"/>
          <w:szCs w:val="18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</w:rPr>
        <w:t>2、所投产品符合国家质量标准。</w:t>
      </w:r>
    </w:p>
    <w:p>
      <w:pPr>
        <w:widowControl/>
        <w:adjustRightInd w:val="0"/>
        <w:snapToGrid w:val="0"/>
        <w:spacing w:after="200"/>
        <w:ind w:firstLine="360" w:firstLineChars="200"/>
        <w:jc w:val="left"/>
        <w:rPr>
          <w:rFonts w:ascii="宋体" w:hAnsi="宋体" w:cs="宋体"/>
          <w:color w:val="auto"/>
          <w:kern w:val="0"/>
          <w:sz w:val="18"/>
          <w:szCs w:val="18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</w:rPr>
        <w:t>3、中标后供货时提供所投产品的的合格证，不得使用假冒伪劣产品替代，否则中标人承担因此产生的一切后果。所供产品质量、规格出现问题，中标人须包换包退，并及时补充合格的产品配送到位。</w:t>
      </w:r>
    </w:p>
    <w:p>
      <w:pPr>
        <w:pStyle w:val="2"/>
        <w:rPr>
          <w:rFonts w:hAnsi="宋体"/>
          <w:color w:val="auto"/>
          <w:sz w:val="18"/>
          <w:szCs w:val="18"/>
        </w:rPr>
      </w:pPr>
    </w:p>
    <w:p>
      <w:pPr>
        <w:pStyle w:val="2"/>
        <w:rPr>
          <w:rFonts w:hAnsi="宋体"/>
          <w:color w:val="auto"/>
          <w:sz w:val="18"/>
          <w:szCs w:val="18"/>
        </w:rPr>
      </w:pPr>
    </w:p>
    <w:p>
      <w:pPr>
        <w:pStyle w:val="2"/>
        <w:rPr>
          <w:rFonts w:hAnsi="宋体"/>
          <w:color w:val="auto"/>
          <w:sz w:val="18"/>
          <w:szCs w:val="18"/>
        </w:rPr>
      </w:pPr>
    </w:p>
    <w:p>
      <w:pPr>
        <w:widowControl/>
        <w:adjustRightInd w:val="0"/>
        <w:snapToGrid w:val="0"/>
        <w:spacing w:after="200"/>
        <w:ind w:firstLine="420" w:firstLineChars="200"/>
        <w:jc w:val="left"/>
        <w:rPr>
          <w:color w:val="auto"/>
        </w:rPr>
      </w:pPr>
    </w:p>
    <w:p>
      <w:pPr>
        <w:pStyle w:val="4"/>
        <w:jc w:val="left"/>
        <w:rPr>
          <w:rFonts w:ascii="宋体" w:hAnsi="宋体" w:cs="宋体"/>
          <w:b w:val="0"/>
          <w:bCs w:val="0"/>
          <w:color w:val="auto"/>
          <w:szCs w:val="21"/>
        </w:rPr>
      </w:pPr>
      <w:r>
        <w:rPr>
          <w:rFonts w:hint="eastAsia" w:ascii="宋体" w:hAnsi="宋体" w:cs="宋体"/>
          <w:bCs w:val="0"/>
          <w:color w:val="auto"/>
          <w:szCs w:val="21"/>
        </w:rPr>
        <w:t>二、商务</w:t>
      </w:r>
      <w:r>
        <w:rPr>
          <w:rFonts w:hint="eastAsia"/>
          <w:color w:val="auto"/>
        </w:rPr>
        <w:t>要求</w:t>
      </w:r>
      <w:bookmarkEnd w:id="0"/>
    </w:p>
    <w:p>
      <w:pPr>
        <w:rPr>
          <w:rFonts w:ascii="宋体" w:hAnsi="宋体" w:cs="宋体"/>
          <w:b/>
          <w:bCs/>
          <w:color w:val="auto"/>
          <w:szCs w:val="21"/>
        </w:rPr>
      </w:pPr>
    </w:p>
    <w:tbl>
      <w:tblPr>
        <w:tblStyle w:val="7"/>
        <w:tblW w:w="8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6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内容</w:t>
            </w:r>
          </w:p>
        </w:tc>
        <w:tc>
          <w:tcPr>
            <w:tcW w:w="629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合同签订地点</w:t>
            </w:r>
          </w:p>
        </w:tc>
        <w:tc>
          <w:tcPr>
            <w:tcW w:w="629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黄山市市政园林有限公司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供货完成时限</w:t>
            </w:r>
          </w:p>
        </w:tc>
        <w:tc>
          <w:tcPr>
            <w:tcW w:w="62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采购人提前2-3天内电话通知中标人供货计划，中标人按要求送货至采购人物资供应中心（黄山市屯溪区齐云大道和横江一路交口）。总结算数量以实际发生签收的数量为准，批次数量以采购人物资中心过磅实际数量为准。供货期限暂定一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货物包装运输要求</w:t>
            </w:r>
          </w:p>
        </w:tc>
        <w:tc>
          <w:tcPr>
            <w:tcW w:w="629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除合同另有规定外，成交人提供的全部货物均应按标准保护措施进行包装，涉及木质制品及木制包装材料的（含铺垫、支撑、加固设施设备等），禁止使用和调入松木及其制品。该包装应适应远距离运输、防潮、防震、防锈和防野蛮装卸，确保货物安全无损运抵现场。由于包装不善所引起的货物锈蚀、损坏和损失均由成交人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质保期</w:t>
            </w:r>
          </w:p>
        </w:tc>
        <w:tc>
          <w:tcPr>
            <w:tcW w:w="629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不低于原厂质保期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货物售后服务</w:t>
            </w:r>
          </w:p>
        </w:tc>
        <w:tc>
          <w:tcPr>
            <w:tcW w:w="629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按原厂售后服务执行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验收</w:t>
            </w:r>
          </w:p>
        </w:tc>
        <w:tc>
          <w:tcPr>
            <w:tcW w:w="6294" w:type="dxa"/>
            <w:noWrap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color w:val="auto"/>
                <w:kern w:val="2"/>
                <w:szCs w:val="2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付款</w:t>
            </w:r>
          </w:p>
        </w:tc>
        <w:tc>
          <w:tcPr>
            <w:tcW w:w="629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付款人：黄山市市政园林有限公司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付款方式：当供货数量达到约30吨，乙方自愿将货款作为质量保证金，甲方不与结算；当供货数量超过约30吨并符合要求的情况下，乙方凭甲方管理人员签字的送货清单、发票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专票)</w:t>
            </w:r>
            <w:r>
              <w:rPr>
                <w:rFonts w:hint="eastAsia" w:ascii="宋体" w:hAnsi="宋体"/>
                <w:color w:val="auto"/>
                <w:szCs w:val="21"/>
              </w:rPr>
              <w:t>、合同等材料开始按实际货款进行结算；合同履行结束后无扣减事项，甲方结清质量保证金货款。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履约保证金</w:t>
            </w:r>
          </w:p>
        </w:tc>
        <w:tc>
          <w:tcPr>
            <w:tcW w:w="629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投标保证金直接转换为履约保证金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履约完成后无息退还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83F1C"/>
    <w:rsid w:val="5CA8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left"/>
      <w:outlineLvl w:val="0"/>
    </w:pPr>
    <w:rPr>
      <w:rFonts w:hint="eastAsia" w:ascii="华文新魏" w:hAnsi="宋体"/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customStyle="1" w:styleId="9">
    <w:name w:val="H1"/>
    <w:basedOn w:val="6"/>
    <w:next w:val="10"/>
    <w:qFormat/>
    <w:uiPriority w:val="0"/>
    <w:pPr>
      <w:spacing w:line="560" w:lineRule="exact"/>
      <w:jc w:val="left"/>
    </w:pPr>
    <w:rPr>
      <w:rFonts w:ascii="宋体" w:hAnsi="宋体" w:cs="宋体"/>
      <w:bCs w:val="0"/>
      <w:color w:val="000000"/>
    </w:rPr>
  </w:style>
  <w:style w:type="paragraph" w:customStyle="1" w:styleId="10">
    <w:name w:val="GW-正文"/>
    <w:basedOn w:val="1"/>
    <w:qFormat/>
    <w:uiPriority w:val="0"/>
    <w:pPr>
      <w:spacing w:line="360" w:lineRule="auto"/>
      <w:ind w:firstLine="200" w:firstLineChars="200"/>
      <w:contextualSpacing/>
    </w:pPr>
    <w:rPr>
      <w:szCs w:val="24"/>
    </w:rPr>
  </w:style>
  <w:style w:type="character" w:customStyle="1" w:styleId="11">
    <w:name w:val="apple-converted-space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2020-06-23T05:44:00Z</dcterms:created>
  <dc:creator>合普冯慧</dc:creator>
  <cp:lastModifiedBy>合普冯慧</cp:lastModifiedBy>
  <dcterms:modified xsi:type="dcterms:W3CDTF">2020-06-23T05:45:20Z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